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Pr="008039B0" w:rsidRDefault="000529D2" w:rsidP="008039B0">
            <w:pPr>
              <w:suppressLineNumbers/>
              <w:rPr>
                <w:rFonts w:ascii="Arial" w:hAnsi="Arial"/>
                <w:b/>
                <w:bCs/>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רשמת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שלי  פרקש</w:t>
                </w:r>
              </w:sdtContent>
            </w:sdt>
          </w:p>
        </w:tc>
      </w:tr>
      <w:tr w:rsidR="0094424E" w:rsidTr="00465D36">
        <w:trPr>
          <w:jc w:val="center"/>
        </w:trPr>
        <w:tc>
          <w:tcPr>
            <w:tcW w:w="3249" w:type="dxa"/>
            <w:gridSpan w:val="2"/>
          </w:tcPr>
          <w:p w:rsidR="0094424E" w:rsidRPr="00B83C90" w:rsidRDefault="0094424E" w:rsidP="00D44968">
            <w:pPr>
              <w:suppressLineNumbers/>
              <w:rPr>
                <w:rFonts w:ascii="Arial" w:hAnsi="Arial"/>
                <w:b/>
                <w:bCs/>
                <w:noProof w:val="0"/>
                <w:sz w:val="26"/>
                <w:szCs w:val="26"/>
              </w:rPr>
            </w:pPr>
          </w:p>
          <w:sdt>
            <w:sdtPr>
              <w:rPr>
                <w:sz w:val="26"/>
                <w:szCs w:val="26"/>
                <w:rtl/>
              </w:rPr>
              <w:alias w:val="1180"/>
              <w:tag w:val="1180"/>
              <w:id w:val="637458750"/>
              <w:text w:multiLine="1"/>
            </w:sdtPr>
            <w:sdtEndPr/>
            <w:sdtContent>
              <w:p w:rsidR="00DD5B76" w:rsidRPr="00B83C90" w:rsidRDefault="008039B0">
                <w:pPr>
                  <w:suppressLineNumbers/>
                  <w:rPr>
                    <w:rFonts w:ascii="Arial" w:hAnsi="Arial"/>
                    <w:b/>
                    <w:bCs/>
                    <w:noProof w:val="0"/>
                    <w:sz w:val="26"/>
                    <w:szCs w:val="26"/>
                    <w:rtl/>
                  </w:rPr>
                </w:pPr>
                <w:r w:rsidRPr="00B83C90">
                  <w:rPr>
                    <w:rFonts w:ascii="Arial" w:hAnsi="Arial"/>
                    <w:b/>
                    <w:bCs/>
                    <w:noProof w:val="0"/>
                    <w:sz w:val="26"/>
                    <w:szCs w:val="26"/>
                    <w:rtl/>
                  </w:rPr>
                  <w:t>מבקש</w:t>
                </w:r>
                <w:r w:rsidRPr="00B83C90">
                  <w:rPr>
                    <w:rFonts w:ascii="Arial" w:hAnsi="Arial" w:hint="cs"/>
                    <w:b/>
                    <w:bCs/>
                    <w:noProof w:val="0"/>
                    <w:sz w:val="26"/>
                    <w:szCs w:val="26"/>
                    <w:rtl/>
                  </w:rPr>
                  <w:t>ת</w:t>
                </w:r>
              </w:p>
            </w:sdtContent>
          </w:sdt>
        </w:tc>
        <w:tc>
          <w:tcPr>
            <w:tcW w:w="5571" w:type="dxa"/>
            <w:gridSpan w:val="2"/>
          </w:tcPr>
          <w:p w:rsidR="0094424E" w:rsidRPr="00B83C90" w:rsidRDefault="0094424E" w:rsidP="00D44968">
            <w:pPr>
              <w:suppressLineNumbers/>
              <w:rPr>
                <w:rFonts w:ascii="Arial" w:hAnsi="Arial"/>
                <w:b/>
                <w:bCs/>
                <w:noProof w:val="0"/>
                <w:sz w:val="26"/>
                <w:szCs w:val="26"/>
                <w:rtl/>
              </w:rPr>
            </w:pPr>
          </w:p>
          <w:p w:rsidR="0094424E" w:rsidRPr="00B83C90" w:rsidRDefault="00720A14" w:rsidP="00B83C90">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B83C90">
                  <w:rPr>
                    <w:rFonts w:ascii="Arial" w:hAnsi="Arial" w:hint="cs"/>
                    <w:b/>
                    <w:bCs/>
                    <w:noProof w:val="0"/>
                    <w:sz w:val="26"/>
                    <w:szCs w:val="26"/>
                    <w:rtl/>
                  </w:rPr>
                  <w:t xml:space="preserve">               </w:t>
                </w:r>
                <w:proofErr w:type="spellStart"/>
                <w:r w:rsidR="00B83C90">
                  <w:rPr>
                    <w:rFonts w:ascii="Arial" w:hAnsi="Arial" w:hint="cs"/>
                    <w:b/>
                    <w:bCs/>
                    <w:noProof w:val="0"/>
                    <w:sz w:val="26"/>
                    <w:szCs w:val="26"/>
                    <w:rtl/>
                  </w:rPr>
                  <w:t>מ.ר</w:t>
                </w:r>
                <w:proofErr w:type="spellEnd"/>
              </w:sdtContent>
            </w:sdt>
            <w:r w:rsidR="00B83C90">
              <w:rPr>
                <w:rFonts w:ascii="Arial" w:hAnsi="Arial" w:hint="cs"/>
                <w:b/>
                <w:bCs/>
                <w:noProof w:val="0"/>
                <w:sz w:val="26"/>
                <w:szCs w:val="26"/>
                <w:rtl/>
              </w:rPr>
              <w:t>.</w:t>
            </w:r>
            <w:r w:rsidR="00E54CD9" w:rsidRPr="00B83C90">
              <w:rPr>
                <w:rFonts w:ascii="Arial" w:hAnsi="Arial" w:hint="cs"/>
                <w:b/>
                <w:bCs/>
                <w:noProof w:val="0"/>
                <w:sz w:val="26"/>
                <w:szCs w:val="26"/>
                <w:rtl/>
              </w:rPr>
              <w:t xml:space="preserve"> </w:t>
            </w:r>
          </w:p>
        </w:tc>
      </w:tr>
      <w:tr w:rsidR="0094424E">
        <w:trPr>
          <w:jc w:val="center"/>
        </w:trPr>
        <w:tc>
          <w:tcPr>
            <w:tcW w:w="8820" w:type="dxa"/>
            <w:gridSpan w:val="4"/>
          </w:tcPr>
          <w:p w:rsidR="0094424E" w:rsidRPr="00B83C90" w:rsidRDefault="0094424E" w:rsidP="00D44968">
            <w:pPr>
              <w:suppressLineNumbers/>
              <w:rPr>
                <w:rFonts w:ascii="Arial" w:hAnsi="Arial"/>
                <w:b/>
                <w:bCs/>
                <w:noProof w:val="0"/>
                <w:sz w:val="26"/>
                <w:szCs w:val="26"/>
                <w:rtl/>
              </w:rPr>
            </w:pPr>
          </w:p>
          <w:p w:rsidR="0094424E" w:rsidRPr="00B83C90" w:rsidRDefault="0094424E" w:rsidP="00D44968">
            <w:pPr>
              <w:suppressLineNumbers/>
              <w:jc w:val="center"/>
              <w:rPr>
                <w:rFonts w:ascii="Arial" w:hAnsi="Arial"/>
                <w:b/>
                <w:bCs/>
                <w:noProof w:val="0"/>
                <w:sz w:val="26"/>
                <w:szCs w:val="26"/>
                <w:rtl/>
              </w:rPr>
            </w:pPr>
            <w:r w:rsidRPr="00B83C90">
              <w:rPr>
                <w:rFonts w:ascii="Arial" w:hAnsi="Arial"/>
                <w:b/>
                <w:bCs/>
                <w:noProof w:val="0"/>
                <w:sz w:val="26"/>
                <w:szCs w:val="26"/>
                <w:rtl/>
              </w:rPr>
              <w:t>נגד</w:t>
            </w:r>
          </w:p>
          <w:p w:rsidR="0094424E" w:rsidRPr="00B83C90"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Pr="00B83C90" w:rsidRDefault="00720A14" w:rsidP="00D44968">
            <w:pPr>
              <w:suppressLineNumbers/>
              <w:rPr>
                <w:rFonts w:ascii="Arial" w:hAnsi="Arial"/>
                <w:b/>
                <w:bCs/>
                <w:noProof w:val="0"/>
                <w:sz w:val="26"/>
                <w:szCs w:val="26"/>
              </w:rPr>
            </w:pPr>
            <w:sdt>
              <w:sdtPr>
                <w:rPr>
                  <w:sz w:val="26"/>
                  <w:szCs w:val="26"/>
                  <w:rtl/>
                </w:rPr>
                <w:alias w:val="1184"/>
                <w:tag w:val="1184"/>
                <w:id w:val="-340621022"/>
                <w:text w:multiLine="1"/>
              </w:sdtPr>
              <w:sdtEndPr/>
              <w:sdtContent>
                <w:r w:rsidR="008039B0" w:rsidRPr="00B83C90">
                  <w:rPr>
                    <w:rFonts w:ascii="Arial" w:hAnsi="Arial"/>
                    <w:b/>
                    <w:bCs/>
                    <w:noProof w:val="0"/>
                    <w:sz w:val="26"/>
                    <w:szCs w:val="26"/>
                    <w:rtl/>
                  </w:rPr>
                  <w:t>משיב</w:t>
                </w:r>
                <w:r w:rsidR="008039B0" w:rsidRPr="00B83C90">
                  <w:rPr>
                    <w:rFonts w:ascii="Arial" w:hAnsi="Arial" w:hint="cs"/>
                    <w:b/>
                    <w:bCs/>
                    <w:noProof w:val="0"/>
                    <w:sz w:val="26"/>
                    <w:szCs w:val="26"/>
                    <w:rtl/>
                  </w:rPr>
                  <w:t>ה</w:t>
                </w:r>
              </w:sdtContent>
            </w:sdt>
          </w:p>
        </w:tc>
        <w:tc>
          <w:tcPr>
            <w:tcW w:w="5571" w:type="dxa"/>
            <w:gridSpan w:val="2"/>
          </w:tcPr>
          <w:p w:rsidR="0094424E" w:rsidRPr="00B83C90" w:rsidRDefault="00B83C90" w:rsidP="00B83C90">
            <w:pPr>
              <w:suppressLineNumbers/>
              <w:rPr>
                <w:rFonts w:ascii="Arial" w:hAnsi="Arial"/>
                <w:b/>
                <w:bCs/>
                <w:noProof w:val="0"/>
                <w:sz w:val="26"/>
                <w:szCs w:val="26"/>
                <w:rtl/>
              </w:rPr>
            </w:pPr>
            <w:r>
              <w:rPr>
                <w:rFonts w:hint="cs"/>
                <w:b/>
                <w:bCs/>
                <w:sz w:val="26"/>
                <w:szCs w:val="26"/>
                <w:rtl/>
              </w:rPr>
              <w:t xml:space="preserve">                מ.ל.</w:t>
            </w:r>
          </w:p>
          <w:p w:rsidR="00CF6BB7" w:rsidRPr="00B83C90"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8039B0">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8039B0" w:rsidRDefault="008039B0" w:rsidP="008039B0">
      <w:pPr>
        <w:spacing w:line="360" w:lineRule="auto"/>
        <w:jc w:val="both"/>
        <w:rPr>
          <w:rFonts w:ascii="David" w:hAnsi="David"/>
          <w:rtl/>
        </w:rPr>
      </w:pPr>
      <w:bookmarkStart w:id="1" w:name="NGCSBookmark"/>
      <w:bookmarkEnd w:id="1"/>
    </w:p>
    <w:p w:rsidR="008039B0" w:rsidRPr="008039B0" w:rsidRDefault="008039B0" w:rsidP="008039B0">
      <w:pPr>
        <w:numPr>
          <w:ilvl w:val="0"/>
          <w:numId w:val="1"/>
        </w:numPr>
        <w:spacing w:line="360" w:lineRule="auto"/>
        <w:ind w:left="0"/>
        <w:contextualSpacing/>
        <w:jc w:val="both"/>
        <w:rPr>
          <w:rFonts w:ascii="David" w:hAnsi="David"/>
          <w:rtl/>
        </w:rPr>
      </w:pPr>
      <w:r w:rsidRPr="008039B0">
        <w:rPr>
          <w:rFonts w:ascii="David" w:hAnsi="David"/>
          <w:rtl/>
        </w:rPr>
        <w:t xml:space="preserve">לפניי בקשה להטלת צו עיקול זמני על זכויות המשיבה בנכס מקרקעין בסך 500,000 ₪. </w:t>
      </w:r>
    </w:p>
    <w:p w:rsidR="008039B0" w:rsidRPr="008039B0" w:rsidRDefault="008039B0" w:rsidP="008039B0">
      <w:pPr>
        <w:spacing w:line="360" w:lineRule="auto"/>
        <w:jc w:val="both"/>
        <w:rPr>
          <w:rFonts w:ascii="David" w:hAnsi="David"/>
          <w:rtl/>
        </w:rPr>
      </w:pPr>
    </w:p>
    <w:p w:rsidR="008039B0" w:rsidRPr="008039B0" w:rsidRDefault="008039B0" w:rsidP="008039B0">
      <w:pPr>
        <w:numPr>
          <w:ilvl w:val="0"/>
          <w:numId w:val="1"/>
        </w:numPr>
        <w:spacing w:line="360" w:lineRule="auto"/>
        <w:ind w:left="0"/>
        <w:contextualSpacing/>
        <w:jc w:val="both"/>
        <w:rPr>
          <w:rFonts w:ascii="David" w:hAnsi="David"/>
          <w:rtl/>
        </w:rPr>
      </w:pPr>
      <w:r w:rsidRPr="008039B0">
        <w:rPr>
          <w:rFonts w:ascii="David" w:hAnsi="David"/>
          <w:rtl/>
        </w:rPr>
        <w:t>המבקשת, אשר גילה כ-26 שנים, היא בתה של המשיבה.</w:t>
      </w:r>
    </w:p>
    <w:p w:rsidR="008039B0" w:rsidRPr="008039B0" w:rsidRDefault="008039B0" w:rsidP="008039B0">
      <w:pPr>
        <w:spacing w:line="360" w:lineRule="auto"/>
        <w:jc w:val="both"/>
        <w:rPr>
          <w:rFonts w:ascii="David" w:hAnsi="David"/>
          <w:rtl/>
        </w:rPr>
      </w:pPr>
    </w:p>
    <w:p w:rsidR="008039B0" w:rsidRPr="008039B0" w:rsidRDefault="008039B0" w:rsidP="008039B0">
      <w:pPr>
        <w:numPr>
          <w:ilvl w:val="0"/>
          <w:numId w:val="1"/>
        </w:numPr>
        <w:spacing w:line="360" w:lineRule="auto"/>
        <w:ind w:left="0"/>
        <w:contextualSpacing/>
        <w:jc w:val="both"/>
        <w:rPr>
          <w:rFonts w:ascii="David" w:hAnsi="David"/>
        </w:rPr>
      </w:pPr>
      <w:r w:rsidRPr="008039B0">
        <w:rPr>
          <w:rFonts w:ascii="David" w:hAnsi="David"/>
          <w:rtl/>
        </w:rPr>
        <w:t>המבקשת הגישה תובענה כספית-נזיקית בסך 500,000 ₪.</w:t>
      </w:r>
    </w:p>
    <w:p w:rsidR="008039B0" w:rsidRPr="008039B0" w:rsidRDefault="008039B0" w:rsidP="008039B0">
      <w:pPr>
        <w:spacing w:line="360" w:lineRule="auto"/>
        <w:jc w:val="both"/>
        <w:rPr>
          <w:rFonts w:ascii="David" w:hAnsi="David"/>
        </w:rPr>
      </w:pPr>
    </w:p>
    <w:p w:rsidR="008039B0" w:rsidRPr="008039B0" w:rsidRDefault="008039B0" w:rsidP="008039B0">
      <w:pPr>
        <w:numPr>
          <w:ilvl w:val="0"/>
          <w:numId w:val="1"/>
        </w:numPr>
        <w:spacing w:line="360" w:lineRule="auto"/>
        <w:ind w:left="0"/>
        <w:contextualSpacing/>
        <w:jc w:val="both"/>
        <w:rPr>
          <w:rFonts w:ascii="David" w:hAnsi="David"/>
        </w:rPr>
      </w:pPr>
      <w:r w:rsidRPr="008039B0">
        <w:rPr>
          <w:rFonts w:ascii="David" w:hAnsi="David"/>
          <w:rtl/>
        </w:rPr>
        <w:t xml:space="preserve">המבקשת הגישה בקשה לסעד ארעי כאמור. לאחר שלא נמצא מקום להידרש אליה במעמד צד אחד, הועברה לתשובה ונקבע מועד לדיון. </w:t>
      </w:r>
    </w:p>
    <w:p w:rsidR="008039B0" w:rsidRPr="008039B0" w:rsidRDefault="008039B0" w:rsidP="008039B0">
      <w:pPr>
        <w:pStyle w:val="ad"/>
        <w:spacing w:line="360" w:lineRule="auto"/>
        <w:ind w:left="0"/>
        <w:jc w:val="both"/>
        <w:rPr>
          <w:rFonts w:ascii="David" w:hAnsi="David"/>
        </w:rPr>
      </w:pPr>
    </w:p>
    <w:p w:rsidR="008039B0" w:rsidRPr="008039B0" w:rsidRDefault="008039B0" w:rsidP="008039B0">
      <w:pPr>
        <w:numPr>
          <w:ilvl w:val="0"/>
          <w:numId w:val="1"/>
        </w:numPr>
        <w:spacing w:line="360" w:lineRule="auto"/>
        <w:ind w:left="0"/>
        <w:contextualSpacing/>
        <w:jc w:val="both"/>
        <w:rPr>
          <w:rFonts w:ascii="David" w:hAnsi="David"/>
          <w:rtl/>
        </w:rPr>
      </w:pPr>
      <w:r w:rsidRPr="008039B0">
        <w:rPr>
          <w:rFonts w:ascii="David" w:hAnsi="David"/>
          <w:rtl/>
        </w:rPr>
        <w:t xml:space="preserve">ניסיון לקדם את הצדדים לקראת הסכמה לא צלח ומכאן ההחלטה. </w:t>
      </w:r>
    </w:p>
    <w:p w:rsidR="008039B0" w:rsidRPr="008039B0" w:rsidRDefault="008039B0" w:rsidP="008039B0">
      <w:pPr>
        <w:spacing w:line="360" w:lineRule="auto"/>
        <w:jc w:val="both"/>
        <w:rPr>
          <w:rFonts w:ascii="David" w:hAnsi="David"/>
          <w:rtl/>
        </w:rPr>
      </w:pPr>
    </w:p>
    <w:p w:rsidR="008039B0" w:rsidRPr="008039B0" w:rsidRDefault="008039B0" w:rsidP="008039B0">
      <w:pPr>
        <w:numPr>
          <w:ilvl w:val="0"/>
          <w:numId w:val="1"/>
        </w:numPr>
        <w:spacing w:line="360" w:lineRule="auto"/>
        <w:ind w:left="0"/>
        <w:contextualSpacing/>
        <w:jc w:val="both"/>
        <w:rPr>
          <w:rFonts w:ascii="David" w:hAnsi="David"/>
        </w:rPr>
      </w:pPr>
      <w:r w:rsidRPr="008039B0">
        <w:rPr>
          <w:rFonts w:ascii="David" w:hAnsi="David"/>
          <w:rtl/>
        </w:rPr>
        <w:t>מטרת הסעד הזמני הוגדרה בהוראת תקנה 94 לתקנות סדר הדין האזרחי, תשע"ט-2018, כך: "מטרת הסעד הזמני היא להבטיח זכות לכאורה במהלך ההליך המשפטי ואת קיומו התקין והיעיל של ההליך או את ביצועו הראוי של פסק-הדין".</w:t>
      </w:r>
    </w:p>
    <w:p w:rsidR="008039B0" w:rsidRPr="008039B0" w:rsidRDefault="008039B0" w:rsidP="008039B0">
      <w:pPr>
        <w:spacing w:line="360" w:lineRule="auto"/>
        <w:jc w:val="both"/>
        <w:rPr>
          <w:rFonts w:ascii="David" w:hAnsi="David"/>
          <w:rtl/>
        </w:rPr>
      </w:pPr>
    </w:p>
    <w:p w:rsidR="008039B0" w:rsidRPr="008039B0" w:rsidRDefault="008039B0" w:rsidP="008039B0">
      <w:pPr>
        <w:numPr>
          <w:ilvl w:val="0"/>
          <w:numId w:val="1"/>
        </w:numPr>
        <w:spacing w:line="360" w:lineRule="auto"/>
        <w:ind w:left="0"/>
        <w:contextualSpacing/>
        <w:jc w:val="both"/>
        <w:rPr>
          <w:rFonts w:ascii="David" w:hAnsi="David"/>
        </w:rPr>
      </w:pPr>
      <w:r w:rsidRPr="008039B0">
        <w:rPr>
          <w:rFonts w:ascii="David" w:hAnsi="David"/>
          <w:rtl/>
        </w:rPr>
        <w:t>השיקולים העיקריים אותם שוקל בית המשפט בהכרעתו אם להיעתר לבקשה כפי שמורה לנו הוראת תקנה 95 לתקנות הם קיומן של ראיות מספקות לכאורה לקיום עילת תביעה; נחיצות הסעד הזמני, קרי, רכיב ההכבדה שמשמעותו שאי מתן הצו יכביד על ביצוע פסק-הדין; האם אין סעד אחר שפגיעתו במשיבה קלה יותר המשיג את אותה התכלית; תום-לבם של הצדדים; והאם המבקשת לא השתהתה בהגשת הבקשה; אחר זאת יש לבצע השוואת נזקים במסגרת מאזן הנוחות. כידוע, בין עוצמתה הלכאורית של עילת התביעה לבין מאזן הנוחות, קיים יחס של מעין "מקבילית כוחות". על המבקשת בכל מקרה לעמוד ברף מינימאלי בנוגע לכל אחד מהתנאים בנפרד</w:t>
      </w:r>
      <w:r w:rsidRPr="008039B0">
        <w:rPr>
          <w:rFonts w:ascii="David" w:hAnsi="David"/>
        </w:rPr>
        <w:t>.</w:t>
      </w:r>
    </w:p>
    <w:p w:rsidR="008039B0" w:rsidRPr="008039B0" w:rsidRDefault="008039B0" w:rsidP="008039B0">
      <w:pPr>
        <w:pStyle w:val="ad"/>
        <w:spacing w:line="360" w:lineRule="auto"/>
        <w:ind w:left="0"/>
        <w:jc w:val="both"/>
        <w:rPr>
          <w:rFonts w:ascii="David" w:hAnsi="David"/>
        </w:rPr>
      </w:pPr>
    </w:p>
    <w:p w:rsidR="008039B0" w:rsidRPr="008039B0" w:rsidRDefault="008039B0" w:rsidP="008039B0">
      <w:pPr>
        <w:numPr>
          <w:ilvl w:val="0"/>
          <w:numId w:val="1"/>
        </w:numPr>
        <w:spacing w:line="360" w:lineRule="auto"/>
        <w:ind w:left="0"/>
        <w:contextualSpacing/>
        <w:jc w:val="both"/>
        <w:rPr>
          <w:rFonts w:ascii="David" w:hAnsi="David"/>
          <w:rtl/>
        </w:rPr>
      </w:pPr>
      <w:r w:rsidRPr="00176AA6">
        <w:rPr>
          <w:rFonts w:ascii="David" w:hAnsi="David"/>
          <w:rtl/>
        </w:rPr>
        <w:lastRenderedPageBreak/>
        <w:t>אשר לרכיב ראיות מספקות לכאורה לקיום עילת תביעה. כידוע, על בית המשפט לענייני משפחה</w:t>
      </w:r>
      <w:r w:rsidRPr="008039B0">
        <w:rPr>
          <w:rFonts w:ascii="David" w:hAnsi="David"/>
          <w:rtl/>
        </w:rPr>
        <w:t xml:space="preserve"> לבחון ולדקדק היטב ולנקוט משנה זהירות קודם שיכניס את דיני העוולות הנזיקיות והעוולות הכלליות לפתחו של המרחב המשפחתי ובכלל זה, רשלנות והפרת חובה חקוקה, כפי העילות שבפי המבקשת. בהקשר זה התייחסה הפסיקה לא רק למרקם העדין והמיוחד של היחסים המשפחתיים אלא גם לחשש מפני מדרון חלקלק ותביעות סרק. </w:t>
      </w:r>
    </w:p>
    <w:p w:rsidR="008039B0" w:rsidRPr="008039B0" w:rsidRDefault="008039B0" w:rsidP="008039B0">
      <w:pPr>
        <w:pStyle w:val="ad"/>
        <w:spacing w:line="360" w:lineRule="auto"/>
        <w:ind w:left="0"/>
        <w:jc w:val="both"/>
        <w:rPr>
          <w:rFonts w:ascii="David" w:hAnsi="David"/>
        </w:rPr>
      </w:pPr>
    </w:p>
    <w:p w:rsidR="008039B0" w:rsidRPr="008039B0" w:rsidRDefault="008039B0" w:rsidP="008039B0">
      <w:pPr>
        <w:numPr>
          <w:ilvl w:val="0"/>
          <w:numId w:val="1"/>
        </w:numPr>
        <w:spacing w:line="360" w:lineRule="auto"/>
        <w:ind w:left="0"/>
        <w:contextualSpacing/>
        <w:jc w:val="both"/>
        <w:rPr>
          <w:rFonts w:ascii="David" w:hAnsi="David"/>
          <w:rtl/>
        </w:rPr>
      </w:pPr>
      <w:r w:rsidRPr="008039B0">
        <w:rPr>
          <w:rFonts w:ascii="David" w:hAnsi="David"/>
          <w:rtl/>
        </w:rPr>
        <w:t xml:space="preserve">למבקשת ביקורת על האופן שבו המשיבה תפקדה כ-אם. היא סבורה שהמשיבה היא אנוכית, מתנשאת, מקטינה, וחולת שליטה, אשר לא העניקה לה, למבקשת, תמיכה פיזית ונפשית, חינוך ואהבה.   </w:t>
      </w:r>
    </w:p>
    <w:p w:rsidR="008039B0" w:rsidRPr="008039B0" w:rsidRDefault="008039B0" w:rsidP="008039B0">
      <w:pPr>
        <w:pStyle w:val="ad"/>
        <w:spacing w:line="360" w:lineRule="auto"/>
        <w:ind w:left="0"/>
        <w:jc w:val="both"/>
        <w:rPr>
          <w:rFonts w:ascii="David" w:hAnsi="David"/>
        </w:rPr>
      </w:pPr>
    </w:p>
    <w:p w:rsidR="00176AA6" w:rsidRDefault="00176AA6" w:rsidP="00176AA6">
      <w:pPr>
        <w:numPr>
          <w:ilvl w:val="0"/>
          <w:numId w:val="1"/>
        </w:numPr>
        <w:spacing w:line="360" w:lineRule="auto"/>
        <w:ind w:left="0"/>
        <w:contextualSpacing/>
        <w:jc w:val="both"/>
        <w:rPr>
          <w:rFonts w:ascii="David" w:hAnsi="David"/>
        </w:rPr>
      </w:pPr>
      <w:r>
        <w:rPr>
          <w:rFonts w:ascii="David" w:hAnsi="David" w:hint="cs"/>
          <w:noProof w:val="0"/>
          <w:rtl/>
        </w:rPr>
        <w:t>אלא ש</w:t>
      </w:r>
      <w:r w:rsidRPr="00A52345">
        <w:rPr>
          <w:rFonts w:ascii="David" w:hAnsi="David"/>
          <w:noProof w:val="0"/>
          <w:rtl/>
        </w:rPr>
        <w:t xml:space="preserve">בדל ראיה לתמיכה בטענות המבקשת, לפיהן גרמה לה אמה-המשיבה נזק גוף נפשי, לא הוצג. </w:t>
      </w:r>
      <w:r w:rsidRPr="00A52345">
        <w:rPr>
          <w:rFonts w:ascii="David" w:hAnsi="David"/>
          <w:rtl/>
        </w:rPr>
        <w:t xml:space="preserve">לא מסמכים רפואיים, לא דו"חות ומסמכים מטעם עובדת סוציאלית או גורם טיפולי אחר, לא מסמכי לשכת הרווחה, לא תצהירי מכרים וקרובים, ולא כל פרט מידע רלבנטי נוסף שיש בו כדי לשפוך אור ולתמוך בטענות. יצוין בהקשרים אלה שבתקנה 15(א) לתקנות (החלה גם בבית משפט זה) נקבע שלכתב הטענות יש לצרף "העתק של מסמך מהותי וכל כתב אחר המשמש ביסוד הנטען בכתב הטענות". </w:t>
      </w:r>
    </w:p>
    <w:p w:rsidR="00176AA6" w:rsidRPr="00A52345" w:rsidRDefault="00176AA6" w:rsidP="00176AA6">
      <w:pPr>
        <w:spacing w:line="360" w:lineRule="auto"/>
        <w:contextualSpacing/>
        <w:jc w:val="both"/>
        <w:rPr>
          <w:rFonts w:ascii="David" w:hAnsi="David"/>
        </w:rPr>
      </w:pPr>
    </w:p>
    <w:p w:rsidR="008039B0" w:rsidRPr="00176AA6" w:rsidRDefault="008039B0" w:rsidP="00176AA6">
      <w:pPr>
        <w:numPr>
          <w:ilvl w:val="0"/>
          <w:numId w:val="1"/>
        </w:numPr>
        <w:spacing w:line="360" w:lineRule="auto"/>
        <w:ind w:left="0"/>
        <w:contextualSpacing/>
        <w:jc w:val="both"/>
        <w:rPr>
          <w:rFonts w:ascii="David" w:hAnsi="David"/>
        </w:rPr>
      </w:pPr>
      <w:r w:rsidRPr="008039B0">
        <w:rPr>
          <w:rFonts w:ascii="David" w:hAnsi="David"/>
          <w:rtl/>
        </w:rPr>
        <w:t xml:space="preserve">המבקשת טענה בסתמיות ובכלליות כי המשיבה אמרה שהיא "לא רוצה להיות אמא", ס' 20.א.; כן כי "הנתבעת היתה נוהגת באגרסיביות כלפי התובעת. הרמת יד, צרחות, הפחדות, איסור על התובעת לצאת מהבית עם חברים עד אשר לא תמלא את משימות הבית", ס' 20.ב.; "היא הרגישה שאין לה את הדמות האימהית אשר אמורה לתת לה ביטחון ו-וודאות בחיים", ס' 25; נהגה לזלזל בתובעת ולומר לה "לא ייצא ממך כלום, את אפס, אין לך בגרות, את תיכשלי", ס' 35. </w:t>
      </w:r>
    </w:p>
    <w:p w:rsidR="00A52345" w:rsidRPr="00A52345" w:rsidRDefault="00A52345" w:rsidP="00A52345">
      <w:pPr>
        <w:rPr>
          <w:rFonts w:ascii="David" w:hAnsi="David"/>
          <w:rtl/>
        </w:rPr>
      </w:pPr>
    </w:p>
    <w:p w:rsidR="008039B0" w:rsidRPr="00E061C1" w:rsidRDefault="00522CAE" w:rsidP="00E061C1">
      <w:pPr>
        <w:numPr>
          <w:ilvl w:val="0"/>
          <w:numId w:val="1"/>
        </w:numPr>
        <w:spacing w:line="360" w:lineRule="auto"/>
        <w:ind w:left="0"/>
        <w:contextualSpacing/>
        <w:jc w:val="both"/>
        <w:rPr>
          <w:rFonts w:ascii="David" w:hAnsi="David"/>
          <w:rtl/>
        </w:rPr>
      </w:pPr>
      <w:r>
        <w:rPr>
          <w:rFonts w:ascii="David" w:hAnsi="David" w:hint="cs"/>
          <w:rtl/>
        </w:rPr>
        <w:t>המבקשת לא פירטה שנים,</w:t>
      </w:r>
      <w:r w:rsidR="008039B0" w:rsidRPr="00E061C1">
        <w:rPr>
          <w:rFonts w:ascii="David" w:hAnsi="David"/>
          <w:rtl/>
        </w:rPr>
        <w:t xml:space="preserve"> תקופות, גיל, אירועים ספיציפיים, ו</w:t>
      </w:r>
      <w:r>
        <w:rPr>
          <w:rFonts w:ascii="David" w:hAnsi="David" w:hint="cs"/>
          <w:rtl/>
        </w:rPr>
        <w:t xml:space="preserve">מי היו </w:t>
      </w:r>
      <w:r w:rsidR="008039B0" w:rsidRPr="00E061C1">
        <w:rPr>
          <w:rFonts w:ascii="David" w:hAnsi="David"/>
          <w:rtl/>
        </w:rPr>
        <w:t>עדים לאירועים</w:t>
      </w:r>
      <w:r>
        <w:rPr>
          <w:rFonts w:ascii="David" w:hAnsi="David" w:hint="cs"/>
          <w:rtl/>
        </w:rPr>
        <w:t xml:space="preserve"> שלטענתה עולים כדי גרימת נזק גוף</w:t>
      </w:r>
      <w:r w:rsidR="008039B0" w:rsidRPr="00E061C1">
        <w:rPr>
          <w:rFonts w:ascii="David" w:hAnsi="David"/>
          <w:rtl/>
        </w:rPr>
        <w:t xml:space="preserve">. בהתאמה, ובאופן זועק, לא צורף תצהיר האח הבכור. ר' עמ' 2, שו' 20. </w:t>
      </w:r>
    </w:p>
    <w:p w:rsidR="008039B0" w:rsidRPr="008039B0" w:rsidRDefault="008039B0" w:rsidP="008039B0">
      <w:pPr>
        <w:pStyle w:val="ad"/>
        <w:spacing w:line="360" w:lineRule="auto"/>
        <w:ind w:left="0"/>
        <w:jc w:val="both"/>
        <w:rPr>
          <w:rFonts w:ascii="David" w:hAnsi="David"/>
        </w:rPr>
      </w:pPr>
    </w:p>
    <w:p w:rsidR="008039B0" w:rsidRPr="008039B0" w:rsidRDefault="008039B0" w:rsidP="00B83C90">
      <w:pPr>
        <w:numPr>
          <w:ilvl w:val="0"/>
          <w:numId w:val="1"/>
        </w:numPr>
        <w:spacing w:line="360" w:lineRule="auto"/>
        <w:ind w:left="0"/>
        <w:contextualSpacing/>
        <w:jc w:val="both"/>
        <w:rPr>
          <w:rFonts w:ascii="David" w:hAnsi="David"/>
          <w:rtl/>
        </w:rPr>
      </w:pPr>
      <w:r w:rsidRPr="008039B0">
        <w:rPr>
          <w:rFonts w:ascii="David" w:hAnsi="David"/>
          <w:rtl/>
        </w:rPr>
        <w:t xml:space="preserve">הדוגמאות שבהן נקבה המבקשת מתמצות בטיסה של המשיבה עם אדם בשם </w:t>
      </w:r>
      <w:r w:rsidR="00B83C90">
        <w:rPr>
          <w:rFonts w:ascii="David" w:hAnsi="David" w:hint="cs"/>
          <w:rtl/>
        </w:rPr>
        <w:t xml:space="preserve">... </w:t>
      </w:r>
      <w:r w:rsidRPr="008039B0">
        <w:rPr>
          <w:rFonts w:ascii="David" w:hAnsi="David"/>
          <w:rtl/>
        </w:rPr>
        <w:t xml:space="preserve">לחו"ל, ס' 20.ג, בכך שהמשיבה לא הכינה כריכים לבית הספר ולא עזרה בשיעורי בית, ס' 20.ד, ולא בישלה לשבת, ס' 20.ז. </w:t>
      </w:r>
    </w:p>
    <w:p w:rsidR="008039B0" w:rsidRPr="008039B0" w:rsidRDefault="008039B0" w:rsidP="008039B0">
      <w:pPr>
        <w:pStyle w:val="ad"/>
        <w:spacing w:line="360" w:lineRule="auto"/>
        <w:ind w:left="0"/>
        <w:jc w:val="both"/>
        <w:rPr>
          <w:rFonts w:ascii="David" w:hAnsi="David"/>
        </w:rPr>
      </w:pPr>
    </w:p>
    <w:p w:rsidR="008039B0" w:rsidRPr="008039B0" w:rsidRDefault="00176AA6" w:rsidP="00176AA6">
      <w:pPr>
        <w:numPr>
          <w:ilvl w:val="0"/>
          <w:numId w:val="1"/>
        </w:numPr>
        <w:spacing w:line="360" w:lineRule="auto"/>
        <w:ind w:left="0"/>
        <w:contextualSpacing/>
        <w:jc w:val="both"/>
        <w:rPr>
          <w:rFonts w:ascii="David" w:hAnsi="David"/>
          <w:rtl/>
        </w:rPr>
      </w:pPr>
      <w:r>
        <w:rPr>
          <w:rFonts w:ascii="David" w:hAnsi="David" w:hint="cs"/>
          <w:rtl/>
        </w:rPr>
        <w:t xml:space="preserve">העדר הראיות זועק ונדמה שהדברים מדברים בעד עצמם. תיאור הטענות ללא צירוף תימוכין, ולו מינימאלי או ראשוני, אינו מספק על מנת לשכנע את בית המשפט כי מדובר בתובענה המצדיקה מתן סעד זמני כפי זה שנתבקש, ביתר שאת בתובענה נזיקית בין בני-משפחה. </w:t>
      </w:r>
    </w:p>
    <w:p w:rsidR="008039B0" w:rsidRPr="008039B0" w:rsidRDefault="008039B0" w:rsidP="008039B0">
      <w:pPr>
        <w:spacing w:line="360" w:lineRule="auto"/>
        <w:jc w:val="both"/>
        <w:rPr>
          <w:rFonts w:ascii="David" w:hAnsi="David"/>
        </w:rPr>
      </w:pPr>
    </w:p>
    <w:p w:rsidR="008039B0" w:rsidRPr="008039B0" w:rsidRDefault="00522CAE" w:rsidP="008039B0">
      <w:pPr>
        <w:numPr>
          <w:ilvl w:val="0"/>
          <w:numId w:val="1"/>
        </w:numPr>
        <w:spacing w:line="360" w:lineRule="auto"/>
        <w:ind w:left="0"/>
        <w:contextualSpacing/>
        <w:jc w:val="both"/>
        <w:rPr>
          <w:rFonts w:ascii="David" w:hAnsi="David"/>
          <w:rtl/>
        </w:rPr>
      </w:pPr>
      <w:r>
        <w:rPr>
          <w:rFonts w:ascii="David" w:hAnsi="David"/>
          <w:rtl/>
        </w:rPr>
        <w:lastRenderedPageBreak/>
        <w:t>בנוסף,</w:t>
      </w:r>
      <w:r w:rsidR="008039B0" w:rsidRPr="008039B0">
        <w:rPr>
          <w:rFonts w:ascii="David" w:hAnsi="David"/>
          <w:rtl/>
        </w:rPr>
        <w:t xml:space="preserve"> נזק נפ</w:t>
      </w:r>
      <w:r w:rsidR="00176AA6">
        <w:rPr>
          <w:rFonts w:ascii="David" w:hAnsi="David"/>
          <w:rtl/>
        </w:rPr>
        <w:t>שי הוא כאמור נזק גוף.</w:t>
      </w:r>
      <w:r w:rsidR="00176AA6">
        <w:rPr>
          <w:rFonts w:ascii="David" w:hAnsi="David" w:hint="cs"/>
          <w:rtl/>
        </w:rPr>
        <w:t xml:space="preserve"> </w:t>
      </w:r>
      <w:r w:rsidR="008039B0" w:rsidRPr="008039B0">
        <w:rPr>
          <w:rFonts w:ascii="David" w:hAnsi="David"/>
          <w:rtl/>
        </w:rPr>
        <w:t>בדל ראיה לתימוכין בכך - ואין הכוונה לחוות דעת מומחה - לא צורף.</w:t>
      </w:r>
    </w:p>
    <w:p w:rsidR="008039B0" w:rsidRPr="008039B0" w:rsidRDefault="008039B0" w:rsidP="008039B0">
      <w:pPr>
        <w:pStyle w:val="ad"/>
        <w:spacing w:line="360" w:lineRule="auto"/>
        <w:ind w:left="0"/>
        <w:jc w:val="both"/>
        <w:rPr>
          <w:rFonts w:ascii="David" w:hAnsi="David"/>
        </w:rPr>
      </w:pPr>
    </w:p>
    <w:p w:rsidR="008039B0" w:rsidRPr="008039B0" w:rsidRDefault="008039B0" w:rsidP="008039B0">
      <w:pPr>
        <w:numPr>
          <w:ilvl w:val="0"/>
          <w:numId w:val="1"/>
        </w:numPr>
        <w:spacing w:line="360" w:lineRule="auto"/>
        <w:ind w:left="0"/>
        <w:contextualSpacing/>
        <w:jc w:val="both"/>
        <w:rPr>
          <w:rFonts w:ascii="David" w:hAnsi="David"/>
          <w:rtl/>
        </w:rPr>
      </w:pPr>
      <w:r w:rsidRPr="008039B0">
        <w:rPr>
          <w:rFonts w:ascii="David" w:hAnsi="David"/>
          <w:rtl/>
        </w:rPr>
        <w:t>יתרה מכך, לא נעשתה על-ידי המבקשת כל הבחנה בין נזק ממוני ונזק שאינו ממוני. בכל הנוגע</w:t>
      </w:r>
      <w:r w:rsidRPr="008039B0">
        <w:rPr>
          <w:rFonts w:ascii="David" w:hAnsi="David"/>
          <w:noProof w:val="0"/>
          <w:rtl/>
        </w:rPr>
        <w:t xml:space="preserve"> לנזקים ממוניים, הרי שאלה נזקים כלכליים שאותם יש לפרט ולשום, אך המבקשת לא עשתה  כן, הגם שעל פניו בנקל ניתן לאמוד ולהוכיח הוצאות שהוצאו למצער עבור טיפולים. ר' עמ' 2, </w:t>
      </w:r>
      <w:proofErr w:type="spellStart"/>
      <w:r w:rsidRPr="008039B0">
        <w:rPr>
          <w:rFonts w:ascii="David" w:hAnsi="David"/>
          <w:noProof w:val="0"/>
          <w:rtl/>
        </w:rPr>
        <w:t>שו</w:t>
      </w:r>
      <w:proofErr w:type="spellEnd"/>
      <w:r w:rsidRPr="008039B0">
        <w:rPr>
          <w:rFonts w:ascii="David" w:hAnsi="David"/>
          <w:noProof w:val="0"/>
          <w:rtl/>
        </w:rPr>
        <w:t xml:space="preserve">' 4. </w:t>
      </w:r>
    </w:p>
    <w:p w:rsidR="008039B0" w:rsidRPr="008039B0" w:rsidRDefault="008039B0" w:rsidP="008039B0">
      <w:pPr>
        <w:spacing w:line="360" w:lineRule="auto"/>
        <w:jc w:val="both"/>
        <w:rPr>
          <w:rFonts w:ascii="David" w:hAnsi="David"/>
          <w:rtl/>
        </w:rPr>
      </w:pPr>
    </w:p>
    <w:p w:rsidR="008039B0" w:rsidRPr="008039B0" w:rsidRDefault="008039B0" w:rsidP="00522CAE">
      <w:pPr>
        <w:numPr>
          <w:ilvl w:val="0"/>
          <w:numId w:val="1"/>
        </w:numPr>
        <w:spacing w:line="360" w:lineRule="auto"/>
        <w:ind w:left="0"/>
        <w:contextualSpacing/>
        <w:jc w:val="both"/>
        <w:rPr>
          <w:rFonts w:ascii="David" w:hAnsi="David"/>
          <w:noProof w:val="0"/>
          <w:rtl/>
        </w:rPr>
      </w:pPr>
      <w:r w:rsidRPr="008039B0">
        <w:rPr>
          <w:rFonts w:ascii="David" w:hAnsi="David"/>
          <w:rtl/>
        </w:rPr>
        <w:t xml:space="preserve">בהתאמה, </w:t>
      </w:r>
      <w:r w:rsidR="00E061C1">
        <w:rPr>
          <w:rFonts w:ascii="David" w:hAnsi="David" w:hint="cs"/>
          <w:rtl/>
        </w:rPr>
        <w:t>כידוע, בבחינת בקשה ל</w:t>
      </w:r>
      <w:r w:rsidR="00E061C1">
        <w:rPr>
          <w:rFonts w:ascii="David" w:hAnsi="David"/>
          <w:rtl/>
        </w:rPr>
        <w:t xml:space="preserve">סעד הזמני </w:t>
      </w:r>
      <w:r w:rsidR="00E061C1">
        <w:rPr>
          <w:rFonts w:ascii="David" w:hAnsi="David" w:hint="cs"/>
          <w:rtl/>
        </w:rPr>
        <w:t xml:space="preserve">קיים </w:t>
      </w:r>
      <w:r w:rsidR="00E061C1">
        <w:rPr>
          <w:rFonts w:ascii="David" w:hAnsi="David"/>
          <w:rtl/>
        </w:rPr>
        <w:t xml:space="preserve">קושי </w:t>
      </w:r>
      <w:r w:rsidRPr="008039B0">
        <w:rPr>
          <w:rFonts w:ascii="David" w:hAnsi="David"/>
          <w:rtl/>
        </w:rPr>
        <w:t>אינהרנטי</w:t>
      </w:r>
      <w:r w:rsidR="00001835">
        <w:rPr>
          <w:rFonts w:ascii="David" w:hAnsi="David" w:hint="cs"/>
          <w:rtl/>
        </w:rPr>
        <w:t xml:space="preserve"> שהוא</w:t>
      </w:r>
      <w:r w:rsidRPr="008039B0">
        <w:rPr>
          <w:rFonts w:ascii="David" w:hAnsi="David"/>
          <w:rtl/>
        </w:rPr>
        <w:t xml:space="preserve"> הטלת מגבלה על בעל-דין טרם שהתבררו הטענות נגדו, כשבחינת הסעד נעשית באמצעות הכלים המוגבלים העומדים ל</w:t>
      </w:r>
      <w:r w:rsidR="00E061C1">
        <w:rPr>
          <w:rFonts w:ascii="David" w:hAnsi="David"/>
          <w:rtl/>
        </w:rPr>
        <w:t xml:space="preserve">רשות בית המשפט בשלב </w:t>
      </w:r>
      <w:r w:rsidR="00E061C1">
        <w:rPr>
          <w:rFonts w:ascii="David" w:hAnsi="David" w:hint="cs"/>
          <w:rtl/>
        </w:rPr>
        <w:t xml:space="preserve">ראשוני </w:t>
      </w:r>
      <w:r w:rsidRPr="008039B0">
        <w:rPr>
          <w:rFonts w:ascii="David" w:hAnsi="David"/>
          <w:rtl/>
        </w:rPr>
        <w:t xml:space="preserve">של ההליך, טרם סיומם של ההליכים המקדמיים, ובדרך כלל, בראשיתו של ההליך, במועד נקיטתו. </w:t>
      </w:r>
    </w:p>
    <w:p w:rsidR="008039B0" w:rsidRPr="008039B0" w:rsidRDefault="008039B0" w:rsidP="008039B0">
      <w:pPr>
        <w:pStyle w:val="ad"/>
        <w:spacing w:line="360" w:lineRule="auto"/>
        <w:ind w:left="0"/>
        <w:jc w:val="both"/>
        <w:rPr>
          <w:rFonts w:ascii="David" w:hAnsi="David"/>
          <w:noProof w:val="0"/>
        </w:rPr>
      </w:pPr>
    </w:p>
    <w:p w:rsidR="008039B0" w:rsidRPr="008039B0" w:rsidRDefault="008039B0" w:rsidP="008039B0">
      <w:pPr>
        <w:numPr>
          <w:ilvl w:val="0"/>
          <w:numId w:val="1"/>
        </w:numPr>
        <w:spacing w:line="360" w:lineRule="auto"/>
        <w:ind w:left="0"/>
        <w:contextualSpacing/>
        <w:jc w:val="both"/>
        <w:rPr>
          <w:rFonts w:ascii="David" w:hAnsi="David"/>
          <w:noProof w:val="0"/>
          <w:rtl/>
        </w:rPr>
      </w:pPr>
      <w:r w:rsidRPr="008039B0">
        <w:rPr>
          <w:rFonts w:ascii="David" w:hAnsi="David"/>
          <w:noProof w:val="0"/>
          <w:rtl/>
        </w:rPr>
        <w:t xml:space="preserve">האמור מתחדד במקרה </w:t>
      </w:r>
      <w:r w:rsidR="00176AA6">
        <w:rPr>
          <w:rFonts w:ascii="David" w:hAnsi="David" w:hint="cs"/>
          <w:noProof w:val="0"/>
          <w:rtl/>
        </w:rPr>
        <w:t xml:space="preserve">של הליך </w:t>
      </w:r>
      <w:r w:rsidRPr="008039B0">
        <w:rPr>
          <w:rFonts w:ascii="David" w:hAnsi="David"/>
          <w:noProof w:val="0"/>
          <w:rtl/>
        </w:rPr>
        <w:t>מסוג זה, והספק המשמעותי מאוד שקיים</w:t>
      </w:r>
      <w:r w:rsidR="00176AA6">
        <w:rPr>
          <w:rFonts w:ascii="David" w:hAnsi="David" w:hint="cs"/>
          <w:noProof w:val="0"/>
          <w:rtl/>
        </w:rPr>
        <w:t xml:space="preserve"> ביחס לעילת התביעה</w:t>
      </w:r>
      <w:r w:rsidRPr="008039B0">
        <w:rPr>
          <w:rFonts w:ascii="David" w:hAnsi="David"/>
          <w:noProof w:val="0"/>
          <w:rtl/>
        </w:rPr>
        <w:t>, מוביל לכך שידה של המשיבה ברכיב זה על העליונה. סיכויי התביעה נראים בשלב זה קלושים, ולמצער</w:t>
      </w:r>
      <w:r w:rsidR="00E061C1">
        <w:rPr>
          <w:rFonts w:ascii="David" w:hAnsi="David" w:hint="cs"/>
          <w:noProof w:val="0"/>
          <w:rtl/>
        </w:rPr>
        <w:t>,</w:t>
      </w:r>
      <w:r w:rsidRPr="008039B0">
        <w:rPr>
          <w:rFonts w:ascii="David" w:hAnsi="David"/>
          <w:noProof w:val="0"/>
          <w:rtl/>
        </w:rPr>
        <w:t xml:space="preserve"> </w:t>
      </w:r>
      <w:r w:rsidRPr="008039B0">
        <w:rPr>
          <w:rFonts w:ascii="David" w:hAnsi="David"/>
          <w:rtl/>
        </w:rPr>
        <w:t xml:space="preserve">לא הוצגו ראיות מספקות לכאורה לקיומה של עילת תביעה החוצות רף מינימלי שמתחת לו אין ליתן סעד זמני. מאליו ברור כי הרף לצורך בחינת הבקשה לסעד זמני שונה ממאזן ההסתברויות בהליך אזרחי ואין באמור קביעת ממצא בהליך העיקרי. </w:t>
      </w:r>
    </w:p>
    <w:p w:rsidR="008039B0" w:rsidRPr="008039B0" w:rsidRDefault="008039B0" w:rsidP="008039B0">
      <w:pPr>
        <w:spacing w:line="360" w:lineRule="auto"/>
        <w:jc w:val="both"/>
        <w:rPr>
          <w:rFonts w:ascii="David" w:hAnsi="David"/>
        </w:rPr>
      </w:pPr>
    </w:p>
    <w:p w:rsidR="008039B0" w:rsidRPr="00176AA6" w:rsidRDefault="008039B0" w:rsidP="008039B0">
      <w:pPr>
        <w:numPr>
          <w:ilvl w:val="0"/>
          <w:numId w:val="1"/>
        </w:numPr>
        <w:spacing w:line="360" w:lineRule="auto"/>
        <w:ind w:left="0"/>
        <w:contextualSpacing/>
        <w:jc w:val="both"/>
        <w:rPr>
          <w:rFonts w:ascii="David" w:hAnsi="David"/>
          <w:rtl/>
        </w:rPr>
      </w:pPr>
      <w:r w:rsidRPr="00176AA6">
        <w:rPr>
          <w:rFonts w:ascii="David" w:hAnsi="David"/>
          <w:rtl/>
        </w:rPr>
        <w:t>אשר לרכיב ההכבדה, "נחיצות הסעד הזמני", המהווה כידוע אבן בוחן מרכזית בבקשה לסעד זמני.</w:t>
      </w:r>
    </w:p>
    <w:p w:rsidR="008039B0" w:rsidRPr="008039B0" w:rsidRDefault="008039B0" w:rsidP="008039B0">
      <w:pPr>
        <w:pStyle w:val="ad"/>
        <w:spacing w:line="360" w:lineRule="auto"/>
        <w:ind w:left="0"/>
        <w:jc w:val="both"/>
        <w:rPr>
          <w:rFonts w:ascii="David" w:hAnsi="David"/>
        </w:rPr>
      </w:pPr>
    </w:p>
    <w:p w:rsidR="008039B0" w:rsidRPr="008039B0" w:rsidRDefault="008039B0" w:rsidP="008039B0">
      <w:pPr>
        <w:numPr>
          <w:ilvl w:val="0"/>
          <w:numId w:val="1"/>
        </w:numPr>
        <w:spacing w:line="360" w:lineRule="auto"/>
        <w:ind w:left="0"/>
        <w:contextualSpacing/>
        <w:jc w:val="both"/>
        <w:rPr>
          <w:rFonts w:ascii="David" w:hAnsi="David"/>
          <w:rtl/>
        </w:rPr>
      </w:pPr>
      <w:r w:rsidRPr="008039B0">
        <w:rPr>
          <w:rFonts w:ascii="David" w:hAnsi="David"/>
          <w:rtl/>
        </w:rPr>
        <w:t>ראשית, מצבה הכלכלי של המשיבה לא התבהר. הלכה למעשה, דבר לא ידוע אודות היקף נכסי של המשיבה, משלח-היד, הכנסותיה וכל פרט רלבנטי נוסף</w:t>
      </w:r>
      <w:r w:rsidR="00176AA6">
        <w:rPr>
          <w:rFonts w:ascii="David" w:hAnsi="David"/>
          <w:rtl/>
        </w:rPr>
        <w:t>. כל שנטען בבקשה הקצרה והדלה,</w:t>
      </w:r>
      <w:r w:rsidRPr="008039B0">
        <w:rPr>
          <w:rFonts w:ascii="David" w:hAnsi="David"/>
          <w:rtl/>
        </w:rPr>
        <w:t xml:space="preserve"> "אני חוששת שהמשיבה תיקח את חלקה בכספי התמורה, תעלים את הכספים, ותסכל את היכולת שלי לגבות את פסק הדין". ס' 8 לתצהיר.  </w:t>
      </w:r>
    </w:p>
    <w:p w:rsidR="008039B0" w:rsidRPr="008039B0" w:rsidRDefault="008039B0" w:rsidP="008039B0">
      <w:pPr>
        <w:pStyle w:val="ad"/>
        <w:spacing w:line="360" w:lineRule="auto"/>
        <w:ind w:left="0"/>
        <w:jc w:val="both"/>
        <w:rPr>
          <w:rFonts w:ascii="David" w:hAnsi="David"/>
        </w:rPr>
      </w:pPr>
    </w:p>
    <w:p w:rsidR="008039B0" w:rsidRPr="008039B0" w:rsidRDefault="008039B0" w:rsidP="00176AA6">
      <w:pPr>
        <w:numPr>
          <w:ilvl w:val="0"/>
          <w:numId w:val="1"/>
        </w:numPr>
        <w:spacing w:line="360" w:lineRule="auto"/>
        <w:ind w:left="0"/>
        <w:contextualSpacing/>
        <w:jc w:val="both"/>
        <w:rPr>
          <w:rFonts w:ascii="David" w:hAnsi="David"/>
          <w:rtl/>
        </w:rPr>
      </w:pPr>
      <w:r w:rsidRPr="008039B0">
        <w:rPr>
          <w:rFonts w:ascii="David" w:hAnsi="David"/>
          <w:rtl/>
        </w:rPr>
        <w:t xml:space="preserve">שנית, המבקשת הודיעה בהודעה מיום 13.7.23, כי ניתן בבית הדין הרבני צו לפירוק השיתוף בבית המגורים שביחס אליו נתבקש הצו. מאליו ברור כי בית המשפט לא יאפשר מתן צו אשר יעכב או יסכל קידום פירוק השיתוף בבית המגורים ורק מטעם זה בלבד כשלעצמו, דין הבקשה להידחות. יתרה מכך, המבקשת עצמה מעוניינת לקדם את פירוק השיתוף בבית המגורים של הוריה ועל כן הבקשה דכאן כלל אינה משרתת את </w:t>
      </w:r>
      <w:r w:rsidR="00176AA6">
        <w:rPr>
          <w:rFonts w:ascii="David" w:hAnsi="David"/>
          <w:rtl/>
        </w:rPr>
        <w:t>טובת אביה התומך בנקיטת הליך זה</w:t>
      </w:r>
      <w:r w:rsidR="00176AA6">
        <w:rPr>
          <w:rFonts w:ascii="David" w:hAnsi="David" w:hint="cs"/>
          <w:rtl/>
        </w:rPr>
        <w:t xml:space="preserve"> </w:t>
      </w:r>
      <w:r w:rsidRPr="008039B0">
        <w:rPr>
          <w:rFonts w:ascii="David" w:hAnsi="David"/>
          <w:rtl/>
        </w:rPr>
        <w:t xml:space="preserve">אלא דווקא מסכלת אותו. </w:t>
      </w:r>
    </w:p>
    <w:p w:rsidR="008039B0" w:rsidRPr="008039B0" w:rsidRDefault="008039B0" w:rsidP="008039B0">
      <w:pPr>
        <w:pStyle w:val="ad"/>
        <w:spacing w:line="360" w:lineRule="auto"/>
        <w:ind w:left="0"/>
        <w:jc w:val="both"/>
        <w:rPr>
          <w:rFonts w:ascii="David" w:hAnsi="David"/>
        </w:rPr>
      </w:pPr>
    </w:p>
    <w:p w:rsidR="008039B0" w:rsidRPr="008039B0" w:rsidRDefault="00176AA6" w:rsidP="00176AA6">
      <w:pPr>
        <w:numPr>
          <w:ilvl w:val="0"/>
          <w:numId w:val="1"/>
        </w:numPr>
        <w:spacing w:line="360" w:lineRule="auto"/>
        <w:ind w:left="0"/>
        <w:contextualSpacing/>
        <w:jc w:val="both"/>
        <w:rPr>
          <w:rFonts w:ascii="David" w:hAnsi="David"/>
          <w:rtl/>
        </w:rPr>
      </w:pPr>
      <w:r>
        <w:rPr>
          <w:rFonts w:ascii="David" w:hAnsi="David"/>
          <w:rtl/>
        </w:rPr>
        <w:t>בהתאמה, הו</w:t>
      </w:r>
      <w:r>
        <w:rPr>
          <w:rFonts w:ascii="David" w:hAnsi="David" w:hint="cs"/>
          <w:rtl/>
        </w:rPr>
        <w:t>צע</w:t>
      </w:r>
      <w:r w:rsidR="008039B0" w:rsidRPr="008039B0">
        <w:rPr>
          <w:rFonts w:ascii="David" w:hAnsi="David"/>
          <w:rtl/>
        </w:rPr>
        <w:t xml:space="preserve"> למבקשת במהלך הדיון </w:t>
      </w:r>
      <w:r>
        <w:rPr>
          <w:rFonts w:ascii="David" w:hAnsi="David" w:hint="cs"/>
          <w:rtl/>
        </w:rPr>
        <w:t xml:space="preserve">לשקול אפשרות </w:t>
      </w:r>
      <w:r w:rsidR="008039B0" w:rsidRPr="008039B0">
        <w:rPr>
          <w:rFonts w:ascii="David" w:hAnsi="David"/>
          <w:rtl/>
        </w:rPr>
        <w:t xml:space="preserve">שהבקשה מקדימה את זמנה, במובן זה </w:t>
      </w:r>
      <w:r>
        <w:rPr>
          <w:rFonts w:ascii="David" w:hAnsi="David" w:hint="cs"/>
          <w:rtl/>
        </w:rPr>
        <w:t xml:space="preserve">שלאחר שייחתם הסכם מכר, </w:t>
      </w:r>
      <w:r>
        <w:rPr>
          <w:rFonts w:ascii="David" w:hAnsi="David"/>
          <w:rtl/>
        </w:rPr>
        <w:t>ניתן יהיה לשקול</w:t>
      </w:r>
      <w:r w:rsidR="008039B0" w:rsidRPr="008039B0">
        <w:rPr>
          <w:rFonts w:ascii="David" w:hAnsi="David"/>
          <w:rtl/>
        </w:rPr>
        <w:t xml:space="preserve"> הטלת הצו המבוקש על התמורה שתתקבל ממכירת הנכס. ברם, המבקשת לא קיבלה את ההצעה להגיש את הבקשה בשלב מאוחר יותר.</w:t>
      </w:r>
    </w:p>
    <w:p w:rsidR="008039B0" w:rsidRPr="008039B0" w:rsidRDefault="008039B0" w:rsidP="008039B0">
      <w:pPr>
        <w:pStyle w:val="ad"/>
        <w:spacing w:line="360" w:lineRule="auto"/>
        <w:ind w:left="0"/>
        <w:jc w:val="both"/>
        <w:rPr>
          <w:rFonts w:ascii="David" w:hAnsi="David"/>
        </w:rPr>
      </w:pPr>
    </w:p>
    <w:p w:rsidR="00671187" w:rsidRDefault="008039B0" w:rsidP="002432BC">
      <w:pPr>
        <w:numPr>
          <w:ilvl w:val="0"/>
          <w:numId w:val="1"/>
        </w:numPr>
        <w:spacing w:line="360" w:lineRule="auto"/>
        <w:ind w:left="0"/>
        <w:contextualSpacing/>
        <w:jc w:val="both"/>
        <w:rPr>
          <w:rFonts w:ascii="David" w:hAnsi="David"/>
        </w:rPr>
      </w:pPr>
      <w:r w:rsidRPr="008039B0">
        <w:rPr>
          <w:rFonts w:ascii="David" w:hAnsi="David"/>
          <w:rtl/>
        </w:rPr>
        <w:t>לפ</w:t>
      </w:r>
      <w:r w:rsidR="00176AA6">
        <w:rPr>
          <w:rFonts w:ascii="David" w:hAnsi="David"/>
          <w:rtl/>
        </w:rPr>
        <w:t>יכך, אין מנוס מלהידרש לכך ול</w:t>
      </w:r>
      <w:r w:rsidR="00176AA6">
        <w:rPr>
          <w:rFonts w:ascii="David" w:hAnsi="David" w:hint="cs"/>
          <w:rtl/>
        </w:rPr>
        <w:t>קבוע כבר בשלב זה</w:t>
      </w:r>
      <w:r w:rsidRPr="008039B0">
        <w:rPr>
          <w:rFonts w:ascii="David" w:hAnsi="David"/>
          <w:rtl/>
        </w:rPr>
        <w:t xml:space="preserve"> שגם אם היה מוטל הצו על זכויות המשיבה בנכס המקרקעין, וגם אם הוא היה מומר על חלקה של המשיבה בתמורה ממכירת הנכס, אזי כידוע, הטלת עיקול על כסף מזומן שאמור לשמש את המשיבה לרכישת קורת גג, </w:t>
      </w:r>
      <w:r w:rsidR="00671187" w:rsidRPr="00522CAE">
        <w:rPr>
          <w:rFonts w:ascii="David" w:hAnsi="David"/>
          <w:rtl/>
        </w:rPr>
        <w:t>הוא סעד פוגעני ודרסטי השמור למקרים מיוחדים שזה</w:t>
      </w:r>
      <w:r w:rsidR="00671187" w:rsidRPr="008039B0">
        <w:rPr>
          <w:rFonts w:ascii="David" w:hAnsi="David"/>
          <w:rtl/>
        </w:rPr>
        <w:t xml:space="preserve"> דכאן אינו נמנה עליהם</w:t>
      </w:r>
      <w:r w:rsidR="002432BC">
        <w:rPr>
          <w:rFonts w:ascii="David" w:hAnsi="David" w:hint="cs"/>
          <w:rtl/>
        </w:rPr>
        <w:t>. סעד מסוג זה נמצא</w:t>
      </w:r>
      <w:r w:rsidRPr="008039B0">
        <w:rPr>
          <w:rFonts w:ascii="David" w:hAnsi="David"/>
          <w:rtl/>
        </w:rPr>
        <w:t xml:space="preserve"> ברף הגבוה ביותר, אשר, בנסיבות העניין, לא נחצה. </w:t>
      </w:r>
      <w:r w:rsidR="00671187">
        <w:rPr>
          <w:rFonts w:ascii="David" w:hAnsi="David" w:hint="cs"/>
          <w:rtl/>
        </w:rPr>
        <w:t xml:space="preserve">ר' הוראת </w:t>
      </w:r>
      <w:r w:rsidR="00671187">
        <w:rPr>
          <w:rFonts w:ascii="David" w:hAnsi="David"/>
          <w:rtl/>
        </w:rPr>
        <w:t>תקנה 95(ד)(2) לתקנות</w:t>
      </w:r>
      <w:r w:rsidR="00671187">
        <w:rPr>
          <w:rFonts w:ascii="David" w:hAnsi="David" w:hint="cs"/>
          <w:rtl/>
        </w:rPr>
        <w:t xml:space="preserve">. </w:t>
      </w:r>
    </w:p>
    <w:p w:rsidR="00671187" w:rsidRDefault="00671187" w:rsidP="00671187">
      <w:pPr>
        <w:pStyle w:val="ad"/>
        <w:rPr>
          <w:rFonts w:ascii="David" w:hAnsi="David"/>
          <w:rtl/>
        </w:rPr>
      </w:pPr>
    </w:p>
    <w:p w:rsidR="008039B0" w:rsidRPr="008039B0" w:rsidRDefault="00671187" w:rsidP="008039B0">
      <w:pPr>
        <w:numPr>
          <w:ilvl w:val="0"/>
          <w:numId w:val="1"/>
        </w:numPr>
        <w:spacing w:line="360" w:lineRule="auto"/>
        <w:ind w:left="0"/>
        <w:contextualSpacing/>
        <w:jc w:val="both"/>
        <w:rPr>
          <w:rFonts w:ascii="David" w:hAnsi="David"/>
          <w:rtl/>
        </w:rPr>
      </w:pPr>
      <w:r w:rsidRPr="008039B0">
        <w:rPr>
          <w:rFonts w:ascii="David" w:hAnsi="David"/>
          <w:rtl/>
        </w:rPr>
        <w:t xml:space="preserve">בהקשר זה יצוין כי המבקשת טענה, עוברת כחוט השני, כי המשיבה הקדישה את זמנה ל"קריירה", כלשונה, כך שלא ברור מדוע לא פורט האם קיימות למשיבה זכויות סוציאליות.  </w:t>
      </w:r>
    </w:p>
    <w:p w:rsidR="008039B0" w:rsidRPr="008039B0" w:rsidRDefault="008039B0" w:rsidP="008039B0">
      <w:pPr>
        <w:pStyle w:val="ad"/>
        <w:spacing w:line="360" w:lineRule="auto"/>
        <w:ind w:left="0"/>
        <w:jc w:val="both"/>
        <w:rPr>
          <w:rFonts w:ascii="David" w:hAnsi="David"/>
        </w:rPr>
      </w:pPr>
    </w:p>
    <w:p w:rsidR="00671187" w:rsidRPr="00671187" w:rsidRDefault="00176AA6" w:rsidP="00671187">
      <w:pPr>
        <w:numPr>
          <w:ilvl w:val="0"/>
          <w:numId w:val="1"/>
        </w:numPr>
        <w:spacing w:line="360" w:lineRule="auto"/>
        <w:ind w:left="0"/>
        <w:contextualSpacing/>
        <w:jc w:val="both"/>
        <w:rPr>
          <w:rFonts w:ascii="David" w:hAnsi="David"/>
        </w:rPr>
      </w:pPr>
      <w:r w:rsidRPr="00671187">
        <w:rPr>
          <w:rFonts w:ascii="David" w:hAnsi="David"/>
          <w:rtl/>
        </w:rPr>
        <w:t>במכלול הנסיבות, ההתרשמ</w:t>
      </w:r>
      <w:r w:rsidR="00522CAE" w:rsidRPr="00671187">
        <w:rPr>
          <w:rFonts w:ascii="David" w:hAnsi="David"/>
          <w:rtl/>
        </w:rPr>
        <w:t>ות היא ש</w:t>
      </w:r>
      <w:r w:rsidR="008039B0" w:rsidRPr="00671187">
        <w:rPr>
          <w:rFonts w:ascii="David" w:hAnsi="David"/>
          <w:rtl/>
        </w:rPr>
        <w:t>הרכיב "</w:t>
      </w:r>
      <w:r w:rsidR="00671187" w:rsidRPr="00671187">
        <w:rPr>
          <w:rFonts w:ascii="David" w:hAnsi="David"/>
          <w:rtl/>
        </w:rPr>
        <w:t xml:space="preserve">נחיצות הסעד הזמני", אינו מתמלא. המבקשת לא שיכנעה "כי קיים חשש סביר שאי-מתן הצו יכביד באופן ממשי על ביצוע פסק הדין" בהתאם להוראת תקנה 103 לתקנות. </w:t>
      </w:r>
    </w:p>
    <w:p w:rsidR="008039B0" w:rsidRPr="008039B0" w:rsidRDefault="008039B0" w:rsidP="008039B0">
      <w:pPr>
        <w:pStyle w:val="ad"/>
        <w:spacing w:line="360" w:lineRule="auto"/>
        <w:ind w:left="0"/>
        <w:jc w:val="both"/>
        <w:rPr>
          <w:rFonts w:ascii="David" w:hAnsi="David"/>
        </w:rPr>
      </w:pPr>
    </w:p>
    <w:p w:rsidR="008039B0" w:rsidRPr="008039B0" w:rsidRDefault="008039B0" w:rsidP="008039B0">
      <w:pPr>
        <w:numPr>
          <w:ilvl w:val="0"/>
          <w:numId w:val="1"/>
        </w:numPr>
        <w:spacing w:line="360" w:lineRule="auto"/>
        <w:ind w:left="0"/>
        <w:contextualSpacing/>
        <w:jc w:val="both"/>
        <w:rPr>
          <w:rFonts w:ascii="David" w:hAnsi="David"/>
          <w:rtl/>
        </w:rPr>
      </w:pPr>
      <w:r w:rsidRPr="008039B0">
        <w:rPr>
          <w:rFonts w:ascii="David" w:hAnsi="David"/>
          <w:rtl/>
        </w:rPr>
        <w:t xml:space="preserve">אשר לרכיבי העזר אשר עוגנו בהוראת תקנה 95(ד)(3) לתקנות, הם רכיבי תום-הלב ושיהוי. אשר לרכיב תום-הלב. קשה עד בלתי אפשרי להידרש לרכיב תום-הלב בהליך מורכב ועצוב מסוג זה שבו ניצבות משני צדי המתרס אם ובתה המנהלות הליך שמהותו הלכה למעשה בחינה בדיעבד של תפקודה ההורי של המשיבה כאם. עצם הצורך להידרש לרכיב זה בהקשר זה מחדד את הקושי האינהרנטי הטמון בהליך מסוג זה ומטה את הכף עוד יותר. </w:t>
      </w:r>
    </w:p>
    <w:p w:rsidR="008039B0" w:rsidRPr="008039B0" w:rsidRDefault="008039B0" w:rsidP="008039B0">
      <w:pPr>
        <w:pStyle w:val="ad"/>
        <w:spacing w:line="360" w:lineRule="auto"/>
        <w:ind w:left="0"/>
        <w:jc w:val="both"/>
        <w:rPr>
          <w:rFonts w:ascii="David" w:hAnsi="David"/>
          <w:noProof w:val="0"/>
        </w:rPr>
      </w:pPr>
    </w:p>
    <w:p w:rsidR="008039B0" w:rsidRPr="008039B0" w:rsidRDefault="008039B0" w:rsidP="008039B0">
      <w:pPr>
        <w:numPr>
          <w:ilvl w:val="0"/>
          <w:numId w:val="1"/>
        </w:numPr>
        <w:spacing w:line="360" w:lineRule="auto"/>
        <w:ind w:left="0"/>
        <w:contextualSpacing/>
        <w:jc w:val="both"/>
        <w:rPr>
          <w:rFonts w:ascii="David" w:hAnsi="David"/>
          <w:rtl/>
        </w:rPr>
      </w:pPr>
      <w:r w:rsidRPr="008039B0">
        <w:rPr>
          <w:rFonts w:ascii="David" w:hAnsi="David"/>
          <w:noProof w:val="0"/>
          <w:rtl/>
        </w:rPr>
        <w:t>מאזן הנוחות. משלא הורם הנטל ביחס לשני הרכיבים כפי שפורט לעיל, אין מקום להשוואת נזקים. למען הסרת הספקות, התבוננות בתמונה המלאה (כפי שנפרשה עד כה) ועל מכלול הנסיבות, מוביל למסקנה שאין כל הצדקה ואין מקום להטלת עיקול זמני במקרה זה.</w:t>
      </w:r>
    </w:p>
    <w:p w:rsidR="008039B0" w:rsidRPr="008039B0" w:rsidRDefault="008039B0" w:rsidP="008039B0">
      <w:pPr>
        <w:pStyle w:val="ad"/>
        <w:spacing w:line="360" w:lineRule="auto"/>
        <w:ind w:left="0"/>
        <w:jc w:val="both"/>
        <w:rPr>
          <w:rFonts w:ascii="David" w:hAnsi="David"/>
        </w:rPr>
      </w:pPr>
    </w:p>
    <w:p w:rsidR="008039B0" w:rsidRPr="008039B0" w:rsidRDefault="008039B0" w:rsidP="008039B0">
      <w:pPr>
        <w:numPr>
          <w:ilvl w:val="0"/>
          <w:numId w:val="1"/>
        </w:numPr>
        <w:spacing w:line="360" w:lineRule="auto"/>
        <w:ind w:left="0"/>
        <w:contextualSpacing/>
        <w:jc w:val="both"/>
        <w:rPr>
          <w:rFonts w:ascii="David" w:hAnsi="David"/>
          <w:rtl/>
        </w:rPr>
      </w:pPr>
      <w:r w:rsidRPr="008039B0">
        <w:rPr>
          <w:rFonts w:ascii="David" w:hAnsi="David"/>
          <w:rtl/>
        </w:rPr>
        <w:t xml:space="preserve">הנזק שעלול להיגרם למשיבה אם יוטל עיקול על כסף מזומן (התמורה ממכירת זכויותיה בדירת המגורים) שאמור לשמש </w:t>
      </w:r>
      <w:r w:rsidR="002432BC">
        <w:rPr>
          <w:rFonts w:ascii="David" w:hAnsi="David"/>
          <w:rtl/>
        </w:rPr>
        <w:t>–</w:t>
      </w:r>
      <w:r w:rsidRPr="008039B0">
        <w:rPr>
          <w:rFonts w:ascii="David" w:hAnsi="David"/>
          <w:rtl/>
        </w:rPr>
        <w:t xml:space="preserve"> </w:t>
      </w:r>
      <w:r w:rsidR="002432BC">
        <w:rPr>
          <w:rFonts w:ascii="David" w:hAnsi="David" w:hint="cs"/>
          <w:rtl/>
        </w:rPr>
        <w:t xml:space="preserve">כך </w:t>
      </w:r>
      <w:r w:rsidRPr="008039B0">
        <w:rPr>
          <w:rFonts w:ascii="David" w:hAnsi="David"/>
          <w:rtl/>
        </w:rPr>
        <w:t>ניתן להניח - את המשיבה לרכישת קורת גג</w:t>
      </w:r>
      <w:r w:rsidR="002432BC">
        <w:rPr>
          <w:rFonts w:ascii="David" w:hAnsi="David" w:hint="cs"/>
          <w:rtl/>
        </w:rPr>
        <w:t xml:space="preserve"> כאמור</w:t>
      </w:r>
      <w:r w:rsidRPr="008039B0">
        <w:rPr>
          <w:rFonts w:ascii="David" w:hAnsi="David"/>
          <w:rtl/>
        </w:rPr>
        <w:t>, גדול ומשמעותי מהנזק שעלול להיגרם למבקשת אם לא יוט</w:t>
      </w:r>
      <w:r w:rsidR="00522CAE">
        <w:rPr>
          <w:rFonts w:ascii="David" w:hAnsi="David"/>
          <w:rtl/>
        </w:rPr>
        <w:t>ל הצו ולא יובטחו טענותיה</w:t>
      </w:r>
      <w:r w:rsidRPr="008039B0">
        <w:rPr>
          <w:rFonts w:ascii="David" w:hAnsi="David"/>
          <w:rtl/>
        </w:rPr>
        <w:t xml:space="preserve"> הנוגעות לתפקודה של המשיבה כ-אם. </w:t>
      </w:r>
    </w:p>
    <w:p w:rsidR="008039B0" w:rsidRPr="008039B0" w:rsidRDefault="008039B0" w:rsidP="008039B0">
      <w:pPr>
        <w:pStyle w:val="ad"/>
        <w:spacing w:line="360" w:lineRule="auto"/>
        <w:ind w:left="0"/>
        <w:jc w:val="both"/>
        <w:rPr>
          <w:rFonts w:ascii="David" w:hAnsi="David"/>
        </w:rPr>
      </w:pPr>
    </w:p>
    <w:p w:rsidR="008039B0" w:rsidRPr="008039B0" w:rsidRDefault="008039B0" w:rsidP="008039B0">
      <w:pPr>
        <w:numPr>
          <w:ilvl w:val="0"/>
          <w:numId w:val="1"/>
        </w:numPr>
        <w:spacing w:line="360" w:lineRule="auto"/>
        <w:ind w:left="0"/>
        <w:contextualSpacing/>
        <w:jc w:val="both"/>
        <w:rPr>
          <w:rFonts w:ascii="David" w:hAnsi="David"/>
          <w:rtl/>
        </w:rPr>
      </w:pPr>
      <w:r w:rsidRPr="008039B0">
        <w:rPr>
          <w:rFonts w:ascii="David" w:hAnsi="David"/>
          <w:rtl/>
        </w:rPr>
        <w:t xml:space="preserve">אשר על כן, הבקשה להטלת צו עיקול זמני נדחית. </w:t>
      </w:r>
    </w:p>
    <w:p w:rsidR="008039B0" w:rsidRPr="008039B0" w:rsidRDefault="008039B0" w:rsidP="008039B0">
      <w:pPr>
        <w:pStyle w:val="ad"/>
        <w:spacing w:line="360" w:lineRule="auto"/>
        <w:ind w:left="0"/>
        <w:jc w:val="both"/>
        <w:rPr>
          <w:rFonts w:ascii="David" w:hAnsi="David"/>
        </w:rPr>
      </w:pPr>
    </w:p>
    <w:p w:rsidR="008039B0" w:rsidRPr="008039B0" w:rsidRDefault="008039B0" w:rsidP="008039B0">
      <w:pPr>
        <w:numPr>
          <w:ilvl w:val="0"/>
          <w:numId w:val="1"/>
        </w:numPr>
        <w:spacing w:line="360" w:lineRule="auto"/>
        <w:ind w:left="0"/>
        <w:contextualSpacing/>
        <w:jc w:val="both"/>
        <w:rPr>
          <w:rFonts w:ascii="David" w:hAnsi="David"/>
          <w:rtl/>
        </w:rPr>
      </w:pPr>
      <w:r w:rsidRPr="008039B0">
        <w:rPr>
          <w:rFonts w:ascii="David" w:hAnsi="David"/>
          <w:rtl/>
        </w:rPr>
        <w:t xml:space="preserve">כל הקביעות בהחלטה זו הן בקשר עם הסעד הזמני בלבד ואין בכך כדי לקבע דבר בהליך העיקרי. </w:t>
      </w:r>
    </w:p>
    <w:p w:rsidR="008039B0" w:rsidRPr="008039B0" w:rsidRDefault="008039B0" w:rsidP="008039B0">
      <w:pPr>
        <w:pStyle w:val="ad"/>
        <w:spacing w:line="360" w:lineRule="auto"/>
        <w:ind w:left="0"/>
        <w:jc w:val="both"/>
        <w:rPr>
          <w:rFonts w:ascii="David" w:hAnsi="David"/>
        </w:rPr>
      </w:pPr>
    </w:p>
    <w:p w:rsidR="008039B0" w:rsidRPr="008039B0" w:rsidRDefault="008039B0" w:rsidP="008039B0">
      <w:pPr>
        <w:numPr>
          <w:ilvl w:val="0"/>
          <w:numId w:val="1"/>
        </w:numPr>
        <w:spacing w:line="360" w:lineRule="auto"/>
        <w:ind w:left="0"/>
        <w:contextualSpacing/>
        <w:jc w:val="both"/>
        <w:rPr>
          <w:rFonts w:ascii="David" w:hAnsi="David"/>
        </w:rPr>
      </w:pPr>
      <w:r w:rsidRPr="008039B0">
        <w:rPr>
          <w:rFonts w:ascii="David" w:hAnsi="David"/>
          <w:rtl/>
        </w:rPr>
        <w:lastRenderedPageBreak/>
        <w:t xml:space="preserve">לאחר שנלקחו בחשבון בין היתר סוג ההליך, אופי הטענות, והתנהלות הצדדים, תישא המבקשת בהוצאות המשיבה בסך 5,000 ₪ אשר ישולם לה בתוך 30 ימים, בהתאם להוראות תקנות 53, 151(ב), ו-153(ג) לתקנות ותקנה 18(ג) לתקנות בית המשפט לענייני משפחה (סדרי דין), תשפ"א-2020. </w:t>
      </w:r>
    </w:p>
    <w:p w:rsidR="008039B0" w:rsidRPr="008039B0" w:rsidRDefault="008039B0" w:rsidP="008039B0">
      <w:pPr>
        <w:pStyle w:val="ad"/>
        <w:spacing w:line="360" w:lineRule="auto"/>
        <w:ind w:left="0"/>
        <w:jc w:val="both"/>
        <w:rPr>
          <w:rFonts w:ascii="David" w:hAnsi="David"/>
          <w:rtl/>
        </w:rPr>
      </w:pPr>
    </w:p>
    <w:p w:rsidR="008039B0" w:rsidRPr="008039B0" w:rsidRDefault="008039B0" w:rsidP="008039B0">
      <w:pPr>
        <w:spacing w:line="360" w:lineRule="auto"/>
        <w:contextualSpacing/>
        <w:jc w:val="both"/>
        <w:rPr>
          <w:rFonts w:ascii="David" w:hAnsi="David"/>
          <w:rtl/>
        </w:rPr>
      </w:pPr>
      <w:r w:rsidRPr="008039B0">
        <w:rPr>
          <w:rFonts w:ascii="David" w:hAnsi="David"/>
          <w:rtl/>
        </w:rPr>
        <w:t xml:space="preserve">ניתן לפרסם החלטה זו לאחר השמטת פרטים מזהים. </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יולי 2023</w:t>
          </w:r>
        </w:sdtContent>
      </w:sdt>
      <w:r w:rsidR="00005C8B">
        <w:rPr>
          <w:rFonts w:ascii="Arial" w:hAnsi="Arial"/>
          <w:noProof w:val="0"/>
          <w:rtl/>
        </w:rPr>
        <w:t>, בהעדר הצדדים.</w:t>
      </w:r>
    </w:p>
    <w:p w:rsidR="00C43648" w:rsidRDefault="00720A1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33193996"/>
        </w:sdtPr>
        <w:sdtEndPr/>
        <w:sdtContent>
          <w:r w:rsidR="00B44165">
            <w:drawing>
              <wp:inline distT="0" distB="0" distL="0" distR="0" wp14:editId="50D07946">
                <wp:extent cx="1092708"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92708" cy="457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A14" w:rsidRDefault="00720A14">
      <w:r>
        <w:separator/>
      </w:r>
    </w:p>
  </w:endnote>
  <w:endnote w:type="continuationSeparator" w:id="0">
    <w:p w:rsidR="00720A14" w:rsidRDefault="0072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5E8" w:rsidRDefault="00D345E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5125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5125C">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5E8" w:rsidRDefault="00D345E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A14" w:rsidRDefault="00720A14">
      <w:r>
        <w:separator/>
      </w:r>
    </w:p>
  </w:footnote>
  <w:footnote w:type="continuationSeparator" w:id="0">
    <w:p w:rsidR="00720A14" w:rsidRDefault="00720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5E8" w:rsidRDefault="00D345E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8039B0" w:rsidRDefault="00720A14" w:rsidP="00B83C90">
          <w:pPr>
            <w:rPr>
              <w:b/>
              <w:bCs/>
              <w:noProof w:val="0"/>
              <w:sz w:val="26"/>
              <w:szCs w:val="26"/>
              <w:rtl/>
            </w:rPr>
          </w:pPr>
          <w:sdt>
            <w:sdtPr>
              <w:rPr>
                <w:rtl/>
              </w:rPr>
              <w:alias w:val="1170"/>
              <w:tag w:val="1170"/>
              <w:id w:val="1066377040"/>
              <w:text w:multiLine="1"/>
            </w:sdtPr>
            <w:sdtEndPr/>
            <w:sdtContent>
              <w:proofErr w:type="spellStart"/>
              <w:r w:rsidR="00897DAF">
                <w:rPr>
                  <w:b/>
                  <w:bCs/>
                  <w:noProof w:val="0"/>
                  <w:sz w:val="26"/>
                  <w:szCs w:val="26"/>
                  <w:rtl/>
                </w:rPr>
                <w:t>תמ"ש</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37831-05-23</w:t>
              </w:r>
            </w:sdtContent>
          </w:sdt>
          <w:r w:rsidR="00005C8B">
            <w:rPr>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5E8" w:rsidRDefault="00D345E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FA6EBD"/>
    <w:multiLevelType w:val="hybridMultilevel"/>
    <w:tmpl w:val="D5D86AE4"/>
    <w:lvl w:ilvl="0" w:tplc="1160D31E">
      <w:start w:val="1"/>
      <w:numFmt w:val="decimal"/>
      <w:lvlText w:val="%1."/>
      <w:lvlJc w:val="left"/>
      <w:pPr>
        <w:ind w:left="720" w:hanging="360"/>
      </w:pPr>
      <w:rPr>
        <w:rFonts w:cs="Times New Roman"/>
        <w:lang w:val="en-U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1835"/>
    <w:rsid w:val="0000226B"/>
    <w:rsid w:val="00005C8B"/>
    <w:rsid w:val="000229A1"/>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76AA6"/>
    <w:rsid w:val="00180519"/>
    <w:rsid w:val="00191C82"/>
    <w:rsid w:val="001C4003"/>
    <w:rsid w:val="001D4DBF"/>
    <w:rsid w:val="001E75CA"/>
    <w:rsid w:val="002265FF"/>
    <w:rsid w:val="00234943"/>
    <w:rsid w:val="002432BC"/>
    <w:rsid w:val="00271B56"/>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2CAE"/>
    <w:rsid w:val="00523621"/>
    <w:rsid w:val="00524986"/>
    <w:rsid w:val="005268F6"/>
    <w:rsid w:val="00534284"/>
    <w:rsid w:val="00547DB7"/>
    <w:rsid w:val="005F4F09"/>
    <w:rsid w:val="0061431B"/>
    <w:rsid w:val="00622BAA"/>
    <w:rsid w:val="006306CF"/>
    <w:rsid w:val="00644E9A"/>
    <w:rsid w:val="00671187"/>
    <w:rsid w:val="00671BD5"/>
    <w:rsid w:val="006805C1"/>
    <w:rsid w:val="00686C21"/>
    <w:rsid w:val="006931C1"/>
    <w:rsid w:val="00694556"/>
    <w:rsid w:val="006C30C5"/>
    <w:rsid w:val="006C4820"/>
    <w:rsid w:val="006D3B31"/>
    <w:rsid w:val="006E0D96"/>
    <w:rsid w:val="006E1A53"/>
    <w:rsid w:val="006F56E6"/>
    <w:rsid w:val="00704EDA"/>
    <w:rsid w:val="00720A14"/>
    <w:rsid w:val="00721122"/>
    <w:rsid w:val="0075125C"/>
    <w:rsid w:val="00753019"/>
    <w:rsid w:val="00754801"/>
    <w:rsid w:val="00761441"/>
    <w:rsid w:val="00795365"/>
    <w:rsid w:val="007A351D"/>
    <w:rsid w:val="007B7765"/>
    <w:rsid w:val="007C5BDD"/>
    <w:rsid w:val="007D45E3"/>
    <w:rsid w:val="007E6115"/>
    <w:rsid w:val="007F4609"/>
    <w:rsid w:val="008039B0"/>
    <w:rsid w:val="00814468"/>
    <w:rsid w:val="008176A1"/>
    <w:rsid w:val="00820005"/>
    <w:rsid w:val="00844318"/>
    <w:rsid w:val="0086061C"/>
    <w:rsid w:val="00863F5D"/>
    <w:rsid w:val="00870890"/>
    <w:rsid w:val="00873602"/>
    <w:rsid w:val="00875D12"/>
    <w:rsid w:val="00881CCE"/>
    <w:rsid w:val="0088479D"/>
    <w:rsid w:val="00896889"/>
    <w:rsid w:val="00897DAF"/>
    <w:rsid w:val="008B2B73"/>
    <w:rsid w:val="008C5714"/>
    <w:rsid w:val="008D10B2"/>
    <w:rsid w:val="00903896"/>
    <w:rsid w:val="00906F3D"/>
    <w:rsid w:val="0091693A"/>
    <w:rsid w:val="0094424E"/>
    <w:rsid w:val="00955642"/>
    <w:rsid w:val="009622DF"/>
    <w:rsid w:val="0096493F"/>
    <w:rsid w:val="00967DFF"/>
    <w:rsid w:val="00994341"/>
    <w:rsid w:val="00996935"/>
    <w:rsid w:val="009D1A48"/>
    <w:rsid w:val="009E1CE7"/>
    <w:rsid w:val="009E4EA5"/>
    <w:rsid w:val="009F164B"/>
    <w:rsid w:val="009F323C"/>
    <w:rsid w:val="00A3392B"/>
    <w:rsid w:val="00A52345"/>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44165"/>
    <w:rsid w:val="00B5356E"/>
    <w:rsid w:val="00B809AD"/>
    <w:rsid w:val="00B80CBD"/>
    <w:rsid w:val="00B83C90"/>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345E8"/>
    <w:rsid w:val="00D44968"/>
    <w:rsid w:val="00D53924"/>
    <w:rsid w:val="00D55D0C"/>
    <w:rsid w:val="00D96D8C"/>
    <w:rsid w:val="00DA6649"/>
    <w:rsid w:val="00DC1259"/>
    <w:rsid w:val="00DC1BD2"/>
    <w:rsid w:val="00DC2571"/>
    <w:rsid w:val="00DC487C"/>
    <w:rsid w:val="00DD5B76"/>
    <w:rsid w:val="00DE1E7D"/>
    <w:rsid w:val="00DE6BF6"/>
    <w:rsid w:val="00E04E84"/>
    <w:rsid w:val="00E061C1"/>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039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44880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5441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36990" w:rsidP="00736990">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36990"/>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A0FC4"/>
    <w:rsid w:val="00BE6557"/>
    <w:rsid w:val="00C96C06"/>
    <w:rsid w:val="00E31BF6"/>
    <w:rsid w:val="00E81DB1"/>
    <w:rsid w:val="00EB0F10"/>
    <w:rsid w:val="00F04DC1"/>
    <w:rsid w:val="00F558E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73699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1220</Words>
  <Characters>6101</Characters>
  <Application>Microsoft Office Word</Application>
  <DocSecurity>0</DocSecurity>
  <Lines>50</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3</cp:revision>
  <cp:lastPrinted>2023-07-17T09:51:00Z</cp:lastPrinted>
  <dcterms:created xsi:type="dcterms:W3CDTF">2023-07-24T06:29:00Z</dcterms:created>
  <dcterms:modified xsi:type="dcterms:W3CDTF">2023-07-24T07:29:00Z</dcterms:modified>
</cp:coreProperties>
</file>